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5EF88D2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0274E">
        <w:rPr>
          <w:rFonts w:ascii="Times New Roman" w:hAnsi="Times New Roman" w:cs="Times New Roman"/>
          <w:b/>
          <w:bCs/>
          <w:sz w:val="24"/>
          <w:szCs w:val="24"/>
        </w:rPr>
        <w:t>VIGÉSIMA TERCEIRA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74E">
        <w:rPr>
          <w:rFonts w:ascii="Times New Roman" w:hAnsi="Times New Roman" w:cs="Times New Roman"/>
          <w:b/>
          <w:bCs/>
          <w:sz w:val="24"/>
          <w:szCs w:val="24"/>
        </w:rPr>
        <w:t>DÉCIMA SEXTA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0274E">
        <w:rPr>
          <w:rFonts w:ascii="Times New Roman" w:hAnsi="Times New Roman" w:cs="Times New Roman"/>
          <w:sz w:val="24"/>
          <w:szCs w:val="24"/>
        </w:rPr>
        <w:t>21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70274E">
        <w:rPr>
          <w:rFonts w:ascii="Times New Roman" w:hAnsi="Times New Roman" w:cs="Times New Roman"/>
          <w:sz w:val="24"/>
          <w:szCs w:val="24"/>
        </w:rPr>
        <w:t>junh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9B0331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274E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70274E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91C9AFC" w14:textId="463E5550" w:rsidR="00EA27BE" w:rsidRDefault="00E0793F" w:rsidP="0070274E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274E" w:rsidRPr="007027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024/2021 – </w:t>
      </w:r>
      <w:r w:rsidR="0070274E" w:rsidRPr="0070274E">
        <w:rPr>
          <w:rFonts w:ascii="Times New Roman" w:hAnsi="Times New Roman" w:cs="Times New Roman"/>
          <w:color w:val="000000"/>
          <w:sz w:val="24"/>
          <w:szCs w:val="24"/>
        </w:rPr>
        <w:t>Dispõe sobre as diretrizes para a Elaboração da Lei Orçamentária para o Exercício de 2022, e dá outras providências</w:t>
      </w:r>
      <w:r w:rsidR="0070274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6E0AC7" w14:textId="6FC73E60" w:rsidR="0070274E" w:rsidRPr="0070274E" w:rsidRDefault="0070274E" w:rsidP="0070274E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4E">
        <w:rPr>
          <w:rFonts w:ascii="Times New Roman" w:hAnsi="Times New Roman" w:cs="Times New Roman"/>
          <w:b/>
          <w:bCs/>
          <w:sz w:val="24"/>
          <w:szCs w:val="24"/>
        </w:rPr>
        <w:t>Projeto de Lei nº 037/2021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7027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274E">
        <w:rPr>
          <w:rFonts w:ascii="Times New Roman" w:hAnsi="Times New Roman" w:cs="Times New Roman"/>
          <w:sz w:val="24"/>
          <w:szCs w:val="24"/>
        </w:rPr>
        <w:t>Autoriza o chefe do Poder Executivo celebrar convênio com Associação de Pais e Amigos dos Excepcionais – APAE do município de Santa Mônica,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49057B" w14:textId="00C7BD27" w:rsidR="0070274E" w:rsidRPr="003F66F8" w:rsidRDefault="0070274E" w:rsidP="0070274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74E">
        <w:rPr>
          <w:rFonts w:ascii="Times New Roman" w:hAnsi="Times New Roman" w:cs="Times New Roman"/>
          <w:b/>
          <w:bCs/>
          <w:sz w:val="24"/>
          <w:szCs w:val="24"/>
        </w:rPr>
        <w:t>Projeto de Lei nº 038/2021</w:t>
      </w:r>
      <w:r w:rsidRPr="00702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0274E">
        <w:rPr>
          <w:rFonts w:ascii="Times New Roman" w:hAnsi="Times New Roman" w:cs="Times New Roman"/>
          <w:sz w:val="24"/>
          <w:szCs w:val="24"/>
        </w:rPr>
        <w:t xml:space="preserve"> Autoriza o Município de Santa Mônica a celebrar convênio com o Município de Santa Isabel do Ivaí, visando à manutenção de “casa Lar”, para atendimento das ações previstas no Estatuto da Criança e do Adolescente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A6D9DBB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70274E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F1963"/>
    <w:rsid w:val="00286544"/>
    <w:rsid w:val="002D4905"/>
    <w:rsid w:val="002E7A4C"/>
    <w:rsid w:val="003A467C"/>
    <w:rsid w:val="003F0F63"/>
    <w:rsid w:val="003F66F8"/>
    <w:rsid w:val="00557CA5"/>
    <w:rsid w:val="005F0220"/>
    <w:rsid w:val="00612838"/>
    <w:rsid w:val="00671E2F"/>
    <w:rsid w:val="0070274E"/>
    <w:rsid w:val="00764C88"/>
    <w:rsid w:val="007C28E8"/>
    <w:rsid w:val="008B455B"/>
    <w:rsid w:val="008C23BE"/>
    <w:rsid w:val="00902FD9"/>
    <w:rsid w:val="009460A8"/>
    <w:rsid w:val="00980AE8"/>
    <w:rsid w:val="00AC2647"/>
    <w:rsid w:val="00BF37CE"/>
    <w:rsid w:val="00E0793F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2023-08-07T18:02:00Z</dcterms:created>
  <dcterms:modified xsi:type="dcterms:W3CDTF">2023-08-07T18:02:00Z</dcterms:modified>
</cp:coreProperties>
</file>