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9718" w14:textId="77777777" w:rsidR="00E0793F" w:rsidRDefault="00E0793F" w:rsidP="00F21E4F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1BF9B793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 DÉCIMA </w:t>
      </w:r>
      <w:r w:rsidR="00F21E4F">
        <w:rPr>
          <w:rFonts w:ascii="Times New Roman" w:hAnsi="Times New Roman" w:cs="Times New Roman"/>
          <w:b/>
          <w:bCs/>
          <w:sz w:val="24"/>
          <w:szCs w:val="24"/>
        </w:rPr>
        <w:t xml:space="preserve">OITAVA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E4F">
        <w:rPr>
          <w:rFonts w:ascii="Times New Roman" w:hAnsi="Times New Roman" w:cs="Times New Roman"/>
          <w:b/>
          <w:bCs/>
          <w:sz w:val="24"/>
          <w:szCs w:val="24"/>
        </w:rPr>
        <w:t>QUINTA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E4F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F21E4F">
        <w:rPr>
          <w:rFonts w:ascii="Times New Roman" w:hAnsi="Times New Roman" w:cs="Times New Roman"/>
          <w:sz w:val="24"/>
          <w:szCs w:val="24"/>
        </w:rPr>
        <w:t>20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A27BE">
        <w:rPr>
          <w:rFonts w:ascii="Times New Roman" w:hAnsi="Times New Roman" w:cs="Times New Roman"/>
          <w:sz w:val="24"/>
          <w:szCs w:val="24"/>
        </w:rPr>
        <w:t>ma</w:t>
      </w:r>
      <w:r w:rsidR="00497597">
        <w:rPr>
          <w:rFonts w:ascii="Times New Roman" w:hAnsi="Times New Roman" w:cs="Times New Roman"/>
          <w:sz w:val="24"/>
          <w:szCs w:val="24"/>
        </w:rPr>
        <w:t>i</w:t>
      </w:r>
      <w:r w:rsidR="00EA27BE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7E38AE38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1E4F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ma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F21E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Segunda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F21E4F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20E1F568" w14:textId="3811CA72" w:rsidR="006B5BA5" w:rsidRDefault="006B5BA5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1 - Projeto de Lei nº 001/2021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de autoria do vereador Sérgio Pereira da Silva – Institui e Concede ao Funcionário P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ú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blico Municipal de Santa Mônica Folga Aniversário, e dá outras providência</w:t>
      </w:r>
      <w:r w:rsidR="00F21E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s. </w:t>
      </w:r>
      <w:r w:rsidR="00F21E4F" w:rsidRPr="00F21E4F">
        <w:rPr>
          <w:rFonts w:ascii="Times New Roman" w:hAnsi="Times New Roman" w:cs="Times New Roman"/>
          <w:b/>
          <w:color w:val="000000"/>
          <w:sz w:val="24"/>
          <w:szCs w:val="24"/>
        </w:rPr>
        <w:t>(Projeto retirado de Pauta</w:t>
      </w:r>
      <w:r w:rsidR="00F21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durante sessão</w:t>
      </w:r>
      <w:r w:rsidR="00F21E4F" w:rsidRPr="00F21E4F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2F61F1AC" w14:textId="71E96295" w:rsidR="006B5BA5" w:rsidRDefault="006B5BA5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2 - </w:t>
      </w: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014/2021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Altera o art. 14 e 45 da Lei 49/2015, que trata do regime Próprio de Previdência Social do Município de Santa Mônica, Estado do Paraná,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0C9B171F" w14:textId="009A9F6F" w:rsidR="006B5BA5" w:rsidRDefault="006B5BA5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3 - </w:t>
      </w: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022/2021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Abre Crédito Especial por Anulação de Dotação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8A451C3" w14:textId="6BA01FDB" w:rsidR="006B5BA5" w:rsidRDefault="006B5BA5" w:rsidP="006B5BA5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4 - </w:t>
      </w: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025/2021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Abre Crédito Especial por Anulação de Dotação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20453074" w14:textId="26EA6CCF" w:rsidR="006B5BA5" w:rsidRDefault="006B5BA5" w:rsidP="006B5BA5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5 - </w:t>
      </w: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026/2021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Abre Crédito Especial por anulação de Dotação, incluindo nova meta de trabalho no PPA, LDO e LOA,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0BDC1FD" w14:textId="611F4A04" w:rsidR="006B5BA5" w:rsidRDefault="006B5BA5" w:rsidP="006B5BA5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6 - </w:t>
      </w: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027/2021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Dispõe sobre a concessão de recomposição salarial e/ou vencimentos aos servidores do quadro de provimento efetivo, servidores inativos, pensionistas, empregados públicos, conselheiros tutelares do Poder Executivo desta municipalidade, como determina o inciso X, do art. 37, da Constituição Federal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01B5739A" w14:textId="04BF119A" w:rsidR="006B5BA5" w:rsidRDefault="006B5BA5" w:rsidP="006B5BA5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7 - </w:t>
      </w: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028/2021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Abre Crédito Especial por Anulação de Dotação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CAE0222" w14:textId="32B58A26" w:rsidR="006B5BA5" w:rsidRDefault="006B5BA5" w:rsidP="006B5BA5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8 - </w:t>
      </w: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029/2021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Autoriza o Poder Executivo do Município de Santa Mônica e celebrar convênios com instituições bancárias para obtenção de empréstimos consignados aos servidores municipais; Dispõe sobre o acréscimo de 5% (cinco por cento) ao percentual máximo de contratação nos termos da Lei Federal nº 14.131, de 30 de março de 2021,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BF335A1" w14:textId="3E0FF355" w:rsidR="006B5BA5" w:rsidRPr="006B5BA5" w:rsidRDefault="006B5BA5" w:rsidP="006B5BA5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765"/>
        <w:tblW w:w="0" w:type="auto"/>
        <w:tblLook w:val="04A0" w:firstRow="1" w:lastRow="0" w:firstColumn="1" w:lastColumn="0" w:noHBand="0" w:noVBand="1"/>
      </w:tblPr>
      <w:tblGrid>
        <w:gridCol w:w="4215"/>
        <w:gridCol w:w="4215"/>
      </w:tblGrid>
      <w:tr w:rsidR="00F21E4F" w14:paraId="26B18376" w14:textId="77777777" w:rsidTr="00F21E4F">
        <w:trPr>
          <w:trHeight w:val="202"/>
        </w:trPr>
        <w:tc>
          <w:tcPr>
            <w:tcW w:w="4215" w:type="dxa"/>
          </w:tcPr>
          <w:p w14:paraId="52469AE7" w14:textId="77777777" w:rsidR="00F21E4F" w:rsidRPr="00D82BC7" w:rsidRDefault="00F21E4F" w:rsidP="00F21E4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215" w:type="dxa"/>
          </w:tcPr>
          <w:p w14:paraId="79B16D0D" w14:textId="77777777" w:rsidR="00F21E4F" w:rsidRPr="00D82BC7" w:rsidRDefault="00F21E4F" w:rsidP="00F21E4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F21E4F" w14:paraId="76232A05" w14:textId="77777777" w:rsidTr="00F21E4F">
        <w:trPr>
          <w:trHeight w:val="411"/>
        </w:trPr>
        <w:tc>
          <w:tcPr>
            <w:tcW w:w="4215" w:type="dxa"/>
          </w:tcPr>
          <w:p w14:paraId="030D038A" w14:textId="77777777" w:rsidR="00F21E4F" w:rsidRPr="00D82BC7" w:rsidRDefault="00F21E4F" w:rsidP="00F21E4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4D650E" w14:textId="77777777" w:rsidR="00F21E4F" w:rsidRPr="00D82BC7" w:rsidRDefault="00F21E4F" w:rsidP="00F21E4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4215" w:type="dxa"/>
          </w:tcPr>
          <w:p w14:paraId="252A8C1A" w14:textId="77777777" w:rsidR="00F21E4F" w:rsidRPr="00D82BC7" w:rsidRDefault="00F21E4F" w:rsidP="00F21E4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4D8CE5" w14:textId="77777777" w:rsidR="00F21E4F" w:rsidRPr="00D82BC7" w:rsidRDefault="00F21E4F" w:rsidP="00F21E4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Secretário Ad hoc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F21E4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38D6"/>
    <w:rsid w:val="000E792E"/>
    <w:rsid w:val="000E7D44"/>
    <w:rsid w:val="00126C13"/>
    <w:rsid w:val="001F1963"/>
    <w:rsid w:val="00286544"/>
    <w:rsid w:val="002D4905"/>
    <w:rsid w:val="002E7A4C"/>
    <w:rsid w:val="003A467C"/>
    <w:rsid w:val="003D1EA0"/>
    <w:rsid w:val="003F0F63"/>
    <w:rsid w:val="003F66F8"/>
    <w:rsid w:val="00497597"/>
    <w:rsid w:val="00557CA5"/>
    <w:rsid w:val="005F0220"/>
    <w:rsid w:val="00612838"/>
    <w:rsid w:val="00671E2F"/>
    <w:rsid w:val="006B5BA5"/>
    <w:rsid w:val="00764C88"/>
    <w:rsid w:val="007C28E8"/>
    <w:rsid w:val="008B455B"/>
    <w:rsid w:val="008C23BE"/>
    <w:rsid w:val="00902FD9"/>
    <w:rsid w:val="009460A8"/>
    <w:rsid w:val="00980AE8"/>
    <w:rsid w:val="00AC2647"/>
    <w:rsid w:val="00BF37CE"/>
    <w:rsid w:val="00D95F51"/>
    <w:rsid w:val="00E0793F"/>
    <w:rsid w:val="00E36796"/>
    <w:rsid w:val="00E41C8B"/>
    <w:rsid w:val="00EA27BE"/>
    <w:rsid w:val="00EE348B"/>
    <w:rsid w:val="00F03726"/>
    <w:rsid w:val="00F21E4F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2023-08-07T17:18:00Z</dcterms:created>
  <dcterms:modified xsi:type="dcterms:W3CDTF">2023-08-07T17:18:00Z</dcterms:modified>
</cp:coreProperties>
</file>