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7C226CD1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="00557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PRIMEIRA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3F66F8">
        <w:rPr>
          <w:rFonts w:ascii="Times New Roman" w:hAnsi="Times New Roman" w:cs="Times New Roman"/>
          <w:sz w:val="24"/>
          <w:szCs w:val="24"/>
        </w:rPr>
        <w:t>01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3F66F8">
        <w:rPr>
          <w:rFonts w:ascii="Times New Roman" w:hAnsi="Times New Roman" w:cs="Times New Roman"/>
          <w:sz w:val="24"/>
          <w:szCs w:val="24"/>
        </w:rPr>
        <w:t>fevereiro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7D5958F7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01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e fevereiro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>Primeira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997649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5F9BEF07" w14:textId="2C2FC5BC" w:rsidR="005F0220" w:rsidRDefault="00E0793F" w:rsidP="003F66F8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F66F8" w:rsidRPr="003F66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01/2021 - </w:t>
      </w:r>
      <w:r w:rsidR="003F66F8" w:rsidRPr="003F66F8">
        <w:rPr>
          <w:rFonts w:ascii="Times New Roman" w:hAnsi="Times New Roman" w:cs="Times New Roman"/>
          <w:color w:val="000000"/>
          <w:sz w:val="24"/>
          <w:szCs w:val="24"/>
        </w:rPr>
        <w:t>Ementa: Abre Crédito Especial por Superávit Financeiro, incluindo nova meta de trabalho no PPA, LDO e LOA, e dá outras provid</w:t>
      </w:r>
      <w:r w:rsidR="003F66F8">
        <w:rPr>
          <w:rFonts w:ascii="Times New Roman" w:hAnsi="Times New Roman" w:cs="Times New Roman"/>
          <w:color w:val="000000"/>
          <w:sz w:val="24"/>
          <w:szCs w:val="24"/>
        </w:rPr>
        <w:t>ê</w:t>
      </w:r>
      <w:r w:rsidR="003F66F8" w:rsidRPr="003F66F8">
        <w:rPr>
          <w:rFonts w:ascii="Times New Roman" w:hAnsi="Times New Roman" w:cs="Times New Roman"/>
          <w:color w:val="000000"/>
          <w:sz w:val="24"/>
          <w:szCs w:val="24"/>
        </w:rPr>
        <w:t>ncias</w:t>
      </w:r>
      <w:r w:rsidR="003F66F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E9F5BB" w14:textId="0B3830F3" w:rsid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02/2021 – </w:t>
      </w:r>
      <w:r w:rsidRPr="003F66F8">
        <w:rPr>
          <w:rFonts w:ascii="Times New Roman" w:hAnsi="Times New Roman" w:cs="Times New Roman"/>
          <w:sz w:val="24"/>
          <w:szCs w:val="24"/>
        </w:rPr>
        <w:t>Ementa: Abre Crédito Especial por Superávit Financeiro, incluindo nova meta de trabalho no PPA, LDO e LOA, e dá outras providências;</w:t>
      </w:r>
    </w:p>
    <w:p w14:paraId="5FA3A4E1" w14:textId="76D05EC6" w:rsid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03/2021 </w:t>
      </w:r>
      <w:r w:rsidRPr="003F66F8">
        <w:rPr>
          <w:rFonts w:ascii="Times New Roman" w:hAnsi="Times New Roman" w:cs="Times New Roman"/>
          <w:sz w:val="24"/>
          <w:szCs w:val="24"/>
        </w:rPr>
        <w:t>– Ementa: Abre Crédito Especial por Excesso de Arrecadação, e dá outras provid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3F66F8">
        <w:rPr>
          <w:rFonts w:ascii="Times New Roman" w:hAnsi="Times New Roman" w:cs="Times New Roman"/>
          <w:sz w:val="24"/>
          <w:szCs w:val="24"/>
        </w:rPr>
        <w:t>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31077B" w14:textId="6259061A" w:rsid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04/2021 – </w:t>
      </w:r>
      <w:r w:rsidRPr="003F66F8">
        <w:rPr>
          <w:rFonts w:ascii="Times New Roman" w:hAnsi="Times New Roman" w:cs="Times New Roman"/>
          <w:sz w:val="24"/>
          <w:szCs w:val="24"/>
        </w:rPr>
        <w:t>Ementa: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sz w:val="24"/>
          <w:szCs w:val="24"/>
        </w:rPr>
        <w:t>Abre Crédito Especial no Orçamento do Município de Santa Mônica, para o Exercício de 2021, no PPA, LDO e LOA, e dá outras provid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3F66F8">
        <w:rPr>
          <w:rFonts w:ascii="Times New Roman" w:hAnsi="Times New Roman" w:cs="Times New Roman"/>
          <w:sz w:val="24"/>
          <w:szCs w:val="24"/>
        </w:rPr>
        <w:t>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CC7BD6" w14:textId="1D541AFD" w:rsid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05/2021 – </w:t>
      </w:r>
      <w:r w:rsidRPr="003F66F8">
        <w:rPr>
          <w:rFonts w:ascii="Times New Roman" w:hAnsi="Times New Roman" w:cs="Times New Roman"/>
          <w:sz w:val="24"/>
          <w:szCs w:val="24"/>
        </w:rPr>
        <w:t>Ementa: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sz w:val="24"/>
          <w:szCs w:val="24"/>
        </w:rPr>
        <w:t>Abre Crédito Especial por excesso de arrecadação,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23ADD6" w14:textId="0B5C7528" w:rsid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06/2021 – </w:t>
      </w:r>
      <w:r w:rsidRPr="003F66F8">
        <w:rPr>
          <w:rFonts w:ascii="Times New Roman" w:hAnsi="Times New Roman" w:cs="Times New Roman"/>
          <w:sz w:val="24"/>
          <w:szCs w:val="24"/>
        </w:rPr>
        <w:t>Ementa: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sz w:val="24"/>
          <w:szCs w:val="24"/>
        </w:rPr>
        <w:t>Abre Crédito Especial por anulação de dotação,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E5E6C0" w14:textId="6981A7A0" w:rsid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7 - 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07/2021 – </w:t>
      </w:r>
      <w:r w:rsidRPr="003F66F8">
        <w:rPr>
          <w:rFonts w:ascii="Times New Roman" w:hAnsi="Times New Roman" w:cs="Times New Roman"/>
          <w:sz w:val="24"/>
          <w:szCs w:val="24"/>
        </w:rPr>
        <w:t>Ementa: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sz w:val="24"/>
          <w:szCs w:val="24"/>
        </w:rPr>
        <w:t>Abre Crédito Especial por Excesso de Arrecadação,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A22865" w14:textId="1421A192" w:rsid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08/2021 – </w:t>
      </w:r>
      <w:r w:rsidRPr="003F66F8">
        <w:rPr>
          <w:rFonts w:ascii="Times New Roman" w:hAnsi="Times New Roman" w:cs="Times New Roman"/>
          <w:sz w:val="24"/>
          <w:szCs w:val="24"/>
        </w:rPr>
        <w:t>Ementa: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sz w:val="24"/>
          <w:szCs w:val="24"/>
        </w:rPr>
        <w:t>Abre Crédito Especial por Anulação de Dotação,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C73CCB" w14:textId="7D94D697" w:rsid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09/2021 – </w:t>
      </w:r>
      <w:r w:rsidRPr="003F66F8">
        <w:rPr>
          <w:rFonts w:ascii="Times New Roman" w:hAnsi="Times New Roman" w:cs="Times New Roman"/>
          <w:sz w:val="24"/>
          <w:szCs w:val="24"/>
        </w:rPr>
        <w:t>Ementa: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sz w:val="24"/>
          <w:szCs w:val="24"/>
        </w:rPr>
        <w:t>Abre Crédito Especial por Superávit Financeiro,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A400EC" w14:textId="2DFD689E" w:rsid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10/2021 – </w:t>
      </w:r>
      <w:r w:rsidRPr="003F66F8">
        <w:rPr>
          <w:rFonts w:ascii="Times New Roman" w:hAnsi="Times New Roman" w:cs="Times New Roman"/>
          <w:sz w:val="24"/>
          <w:szCs w:val="24"/>
        </w:rPr>
        <w:t>Ementa: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sz w:val="24"/>
          <w:szCs w:val="24"/>
        </w:rPr>
        <w:t>Abre Crédito Especial por Excesso de Arrecadação, e dá outras provid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3F66F8">
        <w:rPr>
          <w:rFonts w:ascii="Times New Roman" w:hAnsi="Times New Roman" w:cs="Times New Roman"/>
          <w:sz w:val="24"/>
          <w:szCs w:val="24"/>
        </w:rPr>
        <w:t>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38A17A" w14:textId="59898E7D" w:rsid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11/2021 – </w:t>
      </w:r>
      <w:r w:rsidRPr="003F66F8">
        <w:rPr>
          <w:rFonts w:ascii="Times New Roman" w:hAnsi="Times New Roman" w:cs="Times New Roman"/>
          <w:sz w:val="24"/>
          <w:szCs w:val="24"/>
        </w:rPr>
        <w:t>Ementa: SÚMULA: Altera o Art. 4º, Inc. I da Lei nº 073/2020, que estima a Receita e fixa a Despesa no Município de Santa Mônica Estado do Paraná, para o exercício financeiro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330903" w14:textId="4896099C" w:rsid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12 -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12/2021 – </w:t>
      </w:r>
      <w:r w:rsidRPr="003F66F8">
        <w:rPr>
          <w:rFonts w:ascii="Times New Roman" w:hAnsi="Times New Roman" w:cs="Times New Roman"/>
          <w:sz w:val="24"/>
          <w:szCs w:val="24"/>
        </w:rPr>
        <w:t>Ementa:</w:t>
      </w:r>
      <w:r w:rsidRPr="003F6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6F8">
        <w:rPr>
          <w:rFonts w:ascii="Times New Roman" w:hAnsi="Times New Roman" w:cs="Times New Roman"/>
          <w:sz w:val="24"/>
          <w:szCs w:val="24"/>
        </w:rPr>
        <w:t>Abre Crédito Especial por Anulação de Dotação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520821" w14:textId="77777777" w:rsidR="003F66F8" w:rsidRP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772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8C23BE" w14:paraId="4F11D669" w14:textId="77777777" w:rsidTr="008C23BE">
        <w:trPr>
          <w:trHeight w:val="122"/>
        </w:trPr>
        <w:tc>
          <w:tcPr>
            <w:tcW w:w="3789" w:type="dxa"/>
          </w:tcPr>
          <w:p w14:paraId="173908D0" w14:textId="77777777" w:rsidR="008C23BE" w:rsidRPr="00D82BC7" w:rsidRDefault="008C23BE" w:rsidP="008C23B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</w:tcPr>
          <w:p w14:paraId="0213DCFF" w14:textId="77777777" w:rsidR="008C23BE" w:rsidRPr="00D82BC7" w:rsidRDefault="008C23BE" w:rsidP="008C23B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8C23BE" w14:paraId="24EFB3BB" w14:textId="77777777" w:rsidTr="008C23BE">
        <w:trPr>
          <w:trHeight w:val="248"/>
        </w:trPr>
        <w:tc>
          <w:tcPr>
            <w:tcW w:w="3789" w:type="dxa"/>
          </w:tcPr>
          <w:p w14:paraId="7A5B67B0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A5D136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3757CB47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1E2149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0293" w14:textId="77777777" w:rsidR="001445E2" w:rsidRDefault="001445E2" w:rsidP="00E0793F">
      <w:pPr>
        <w:spacing w:after="0" w:line="240" w:lineRule="auto"/>
      </w:pPr>
      <w:r>
        <w:separator/>
      </w:r>
    </w:p>
  </w:endnote>
  <w:endnote w:type="continuationSeparator" w:id="0">
    <w:p w14:paraId="408C830C" w14:textId="77777777" w:rsidR="001445E2" w:rsidRDefault="001445E2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8E934" w14:textId="77777777" w:rsidR="001445E2" w:rsidRDefault="001445E2" w:rsidP="00E0793F">
      <w:pPr>
        <w:spacing w:after="0" w:line="240" w:lineRule="auto"/>
      </w:pPr>
      <w:r>
        <w:separator/>
      </w:r>
    </w:p>
  </w:footnote>
  <w:footnote w:type="continuationSeparator" w:id="0">
    <w:p w14:paraId="36F41C4B" w14:textId="77777777" w:rsidR="001445E2" w:rsidRDefault="001445E2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997649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445E2"/>
    <w:rsid w:val="001F1963"/>
    <w:rsid w:val="00286544"/>
    <w:rsid w:val="002D4905"/>
    <w:rsid w:val="002E7A4C"/>
    <w:rsid w:val="003A467C"/>
    <w:rsid w:val="003F0F63"/>
    <w:rsid w:val="003F66F8"/>
    <w:rsid w:val="00557CA5"/>
    <w:rsid w:val="005F0220"/>
    <w:rsid w:val="00612838"/>
    <w:rsid w:val="00671E2F"/>
    <w:rsid w:val="007C28E8"/>
    <w:rsid w:val="008C23BE"/>
    <w:rsid w:val="00902FD9"/>
    <w:rsid w:val="009460A8"/>
    <w:rsid w:val="00980AE8"/>
    <w:rsid w:val="00997649"/>
    <w:rsid w:val="00AC2647"/>
    <w:rsid w:val="00BF37CE"/>
    <w:rsid w:val="00E0793F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5</cp:revision>
  <dcterms:created xsi:type="dcterms:W3CDTF">2023-08-07T12:10:00Z</dcterms:created>
  <dcterms:modified xsi:type="dcterms:W3CDTF">2023-08-07T12:58:00Z</dcterms:modified>
</cp:coreProperties>
</file>