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FF1833D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37C4E">
        <w:rPr>
          <w:rFonts w:ascii="Times New Roman" w:hAnsi="Times New Roman" w:cs="Times New Roman"/>
          <w:b/>
          <w:bCs/>
          <w:sz w:val="24"/>
          <w:szCs w:val="24"/>
        </w:rPr>
        <w:t xml:space="preserve">TRIGÉSIMA </w:t>
      </w:r>
      <w:r w:rsidR="00CA4C4A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37C4E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CA4C4A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CA4C4A">
        <w:rPr>
          <w:rFonts w:ascii="Times New Roman" w:hAnsi="Times New Roman" w:cs="Times New Roman"/>
          <w:sz w:val="24"/>
          <w:szCs w:val="24"/>
        </w:rPr>
        <w:t>26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37C4E">
        <w:rPr>
          <w:rFonts w:ascii="Times New Roman" w:hAnsi="Times New Roman" w:cs="Times New Roman"/>
          <w:sz w:val="24"/>
          <w:szCs w:val="24"/>
        </w:rPr>
        <w:t>outubr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0A1409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outubr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CA4C4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058F84DA" w:rsidR="003F66F8" w:rsidRDefault="00E0793F" w:rsidP="0016442B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4C4A" w:rsidRPr="00CA4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CA4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CA4C4A" w:rsidRPr="00CA4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063/2020 – </w:t>
      </w:r>
      <w:r w:rsidR="00CA4C4A" w:rsidRPr="00CA4C4A">
        <w:rPr>
          <w:rFonts w:ascii="Times New Roman" w:hAnsi="Times New Roman" w:cs="Times New Roman"/>
          <w:color w:val="000000"/>
          <w:sz w:val="24"/>
          <w:szCs w:val="24"/>
        </w:rPr>
        <w:t>Abre crédito Especial por Anulação de Dotação e dá outras providências</w:t>
      </w:r>
      <w:r w:rsidR="00CA4C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3AF5EB" w14:textId="5226A7BF" w:rsidR="00E0793F" w:rsidRDefault="00CA4C4A" w:rsidP="00CA4C4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C4A">
        <w:rPr>
          <w:rFonts w:ascii="Times New Roman" w:hAnsi="Times New Roman" w:cs="Times New Roman"/>
          <w:b/>
          <w:sz w:val="24"/>
          <w:szCs w:val="24"/>
        </w:rPr>
        <w:t xml:space="preserve">Projeto de 064/2020 – </w:t>
      </w:r>
      <w:r w:rsidRPr="00CA4C4A">
        <w:rPr>
          <w:rFonts w:ascii="Times New Roman" w:hAnsi="Times New Roman" w:cs="Times New Roman"/>
          <w:sz w:val="24"/>
          <w:szCs w:val="24"/>
        </w:rPr>
        <w:t>Estabelece os subsídios dos Vereadores e do Vereador Presidente da Câmara Municipal de Santa Mônica, Estado do Paraná, para a legislatura 2021/2024, fixando-os em observância aos ditames da Carta Magna e nos termos da Lei Orgânica desta municipalidade.</w:t>
      </w:r>
    </w:p>
    <w:tbl>
      <w:tblPr>
        <w:tblStyle w:val="Tabelacomgrade"/>
        <w:tblpPr w:leftFromText="141" w:rightFromText="141" w:vertAnchor="text" w:horzAnchor="margin" w:tblpXSpec="center" w:tblpY="3471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16442B" w14:paraId="4DE65B9E" w14:textId="77777777" w:rsidTr="0016442B">
        <w:trPr>
          <w:trHeight w:val="122"/>
        </w:trPr>
        <w:tc>
          <w:tcPr>
            <w:tcW w:w="3789" w:type="dxa"/>
          </w:tcPr>
          <w:p w14:paraId="7D3FFAC2" w14:textId="77777777" w:rsidR="0016442B" w:rsidRPr="00D82BC7" w:rsidRDefault="0016442B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1A83D09A" w14:textId="44122DA7" w:rsidR="0016442B" w:rsidRPr="00D82BC7" w:rsidRDefault="00737C4E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16442B" w14:paraId="5194EDC0" w14:textId="77777777" w:rsidTr="0016442B">
        <w:trPr>
          <w:trHeight w:val="248"/>
        </w:trPr>
        <w:tc>
          <w:tcPr>
            <w:tcW w:w="3789" w:type="dxa"/>
          </w:tcPr>
          <w:p w14:paraId="195594AB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35168D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26AEDC11" w14:textId="77777777" w:rsidR="0016442B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3D3E8A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CA4C4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2023-08-10T12:08:00Z</dcterms:created>
  <dcterms:modified xsi:type="dcterms:W3CDTF">2023-08-10T12:08:00Z</dcterms:modified>
</cp:coreProperties>
</file>