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6166E0EC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E114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OITAVA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2FB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PRIMEIRA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93B18">
        <w:rPr>
          <w:rFonts w:ascii="Times New Roman" w:hAnsi="Times New Roman" w:cs="Times New Roman"/>
          <w:sz w:val="24"/>
          <w:szCs w:val="24"/>
        </w:rPr>
        <w:t>04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D93B18">
        <w:rPr>
          <w:rFonts w:ascii="Times New Roman" w:hAnsi="Times New Roman" w:cs="Times New Roman"/>
          <w:sz w:val="24"/>
          <w:szCs w:val="24"/>
        </w:rPr>
        <w:t>Novemb</w:t>
      </w:r>
      <w:r w:rsidR="00BF04A8">
        <w:rPr>
          <w:rFonts w:ascii="Times New Roman" w:hAnsi="Times New Roman" w:cs="Times New Roman"/>
          <w:sz w:val="24"/>
          <w:szCs w:val="24"/>
        </w:rPr>
        <w:t>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05914520" w14:textId="77777777" w:rsidR="00D93B18" w:rsidRDefault="00E0793F" w:rsidP="00D93B1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B18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B18">
        <w:rPr>
          <w:rFonts w:ascii="Times New Roman" w:hAnsi="Times New Roman" w:cs="Times New Roman"/>
          <w:bCs/>
          <w:color w:val="000000"/>
          <w:sz w:val="24"/>
          <w:szCs w:val="24"/>
        </w:rPr>
        <w:t>Novem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>foram encaminhados para Primeira Discussão e Votação, os Seguintes Projetos, em Sessão Ordinária da Câmara Municipal de Vereadores da cidade de Santa Mônica, Estado do Paraná:</w:t>
      </w:r>
    </w:p>
    <w:p w14:paraId="53F81975" w14:textId="77777777" w:rsidR="00D93B18" w:rsidRDefault="00D93B18" w:rsidP="00D93B1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D88FA3" w14:textId="385C817E" w:rsidR="00D93B18" w:rsidRDefault="00D93B18" w:rsidP="00D93B1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3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1 - </w:t>
      </w:r>
      <w:r w:rsidRPr="00D93B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Resolução Legislativa nº 04/2024 – </w:t>
      </w:r>
      <w:r w:rsidRPr="00D93B18">
        <w:rPr>
          <w:rFonts w:ascii="Times New Roman" w:hAnsi="Times New Roman" w:cs="Times New Roman"/>
          <w:color w:val="000000"/>
          <w:sz w:val="24"/>
          <w:szCs w:val="24"/>
          <w:u w:val="single"/>
        </w:rPr>
        <w:t>Súmula:</w:t>
      </w:r>
      <w:r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Aprova as Contas do Poder Executivo do Município de Santa Mônica, Estado do Paraná, referentes ao Exercício Financeiro de 2021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87C27A" w14:textId="4394FDD5" w:rsidR="00D93B18" w:rsidRPr="00D93B18" w:rsidRDefault="00D93B18" w:rsidP="00D93B18">
      <w:pPr>
        <w:ind w:left="-284" w:right="-85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2 - </w:t>
      </w:r>
      <w:r w:rsidRPr="00D93B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027/2024 – </w:t>
      </w:r>
      <w:r w:rsidRPr="00D93B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Súmula: </w:t>
      </w:r>
      <w:r w:rsidRPr="00D93B18">
        <w:rPr>
          <w:rFonts w:ascii="Times New Roman" w:hAnsi="Times New Roman" w:cs="Times New Roman"/>
          <w:color w:val="000000"/>
          <w:sz w:val="24"/>
          <w:szCs w:val="24"/>
        </w:rPr>
        <w:t>Dispõe sobre a criação do Conselho Municipal de Esporte e Lazer, do Fundo Municipal de Esporte e institui a Conferência Municipal de Esporte.</w:t>
      </w:r>
    </w:p>
    <w:p w14:paraId="5B28EF7D" w14:textId="311593A0" w:rsidR="003D3B35" w:rsidRPr="00E114F4" w:rsidRDefault="003D3B35" w:rsidP="00E114F4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415A137B" w:rsidR="002E19E5" w:rsidRPr="002A4EFB" w:rsidRDefault="00FA0720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41A5275F" w14:textId="77777777" w:rsidR="000F1281" w:rsidRDefault="000F1281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1F60C803" w:rsidR="00FA0720" w:rsidRPr="002A4EFB" w:rsidRDefault="00FA0720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93B18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868F8"/>
    <w:rsid w:val="00095024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C2A8F"/>
    <w:rsid w:val="003D3B35"/>
    <w:rsid w:val="003F0F63"/>
    <w:rsid w:val="0043636A"/>
    <w:rsid w:val="0049668F"/>
    <w:rsid w:val="004B15E8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61D7A"/>
    <w:rsid w:val="00980AE8"/>
    <w:rsid w:val="0099709E"/>
    <w:rsid w:val="009C6702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BF04A8"/>
    <w:rsid w:val="00D47008"/>
    <w:rsid w:val="00D675EA"/>
    <w:rsid w:val="00D93B18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2024-12-19T19:13:00Z</dcterms:created>
  <dcterms:modified xsi:type="dcterms:W3CDTF">2024-12-19T19:13:00Z</dcterms:modified>
</cp:coreProperties>
</file>