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2E52C3AD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>TRIGÉSIMA</w:t>
      </w:r>
      <w:r w:rsidR="005B4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EE6">
        <w:rPr>
          <w:rFonts w:ascii="Times New Roman" w:hAnsi="Times New Roman" w:cs="Times New Roman"/>
          <w:b/>
          <w:bCs/>
          <w:sz w:val="24"/>
          <w:szCs w:val="24"/>
        </w:rPr>
        <w:t>QUINTA</w:t>
      </w:r>
      <w:r w:rsidR="003D3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C2A8F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BF04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EE6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7D4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8E7EE6">
        <w:rPr>
          <w:rFonts w:ascii="Times New Roman" w:hAnsi="Times New Roman" w:cs="Times New Roman"/>
          <w:sz w:val="24"/>
          <w:szCs w:val="24"/>
        </w:rPr>
        <w:t>14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8E7EE6">
        <w:rPr>
          <w:rFonts w:ascii="Times New Roman" w:hAnsi="Times New Roman" w:cs="Times New Roman"/>
          <w:sz w:val="24"/>
          <w:szCs w:val="24"/>
        </w:rPr>
        <w:t>Outu</w:t>
      </w:r>
      <w:r w:rsidR="00BF04A8">
        <w:rPr>
          <w:rFonts w:ascii="Times New Roman" w:hAnsi="Times New Roman" w:cs="Times New Roman"/>
          <w:sz w:val="24"/>
          <w:szCs w:val="24"/>
        </w:rPr>
        <w:t>br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5A95972D" w:rsidR="00052FF0" w:rsidRDefault="00E0793F" w:rsidP="00052FF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7EE6">
        <w:rPr>
          <w:rFonts w:ascii="Times New Roman" w:hAnsi="Times New Roman" w:cs="Times New Roman"/>
          <w:bCs/>
          <w:color w:val="000000"/>
          <w:sz w:val="24"/>
          <w:szCs w:val="24"/>
        </w:rPr>
        <w:t>14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E7EE6">
        <w:rPr>
          <w:rFonts w:ascii="Times New Roman" w:hAnsi="Times New Roman" w:cs="Times New Roman"/>
          <w:bCs/>
          <w:color w:val="000000"/>
          <w:sz w:val="24"/>
          <w:szCs w:val="24"/>
        </w:rPr>
        <w:t>Outu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3D3B35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="008E7EE6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D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>encaminhado</w:t>
      </w:r>
      <w:r w:rsidR="008E7EE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r w:rsidR="003D3B35">
        <w:rPr>
          <w:rFonts w:ascii="Times New Roman" w:hAnsi="Times New Roman" w:cs="Times New Roman"/>
          <w:color w:val="000000"/>
          <w:sz w:val="24"/>
          <w:szCs w:val="24"/>
        </w:rPr>
        <w:t>Primeira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 xml:space="preserve"> Discussão e Votação, o</w:t>
      </w:r>
      <w:r w:rsidR="008E7EE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 xml:space="preserve"> Seguinte</w:t>
      </w:r>
      <w:r w:rsidR="008E7EE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 xml:space="preserve"> Projeto</w:t>
      </w:r>
      <w:r w:rsidR="008E7EE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D3B35" w:rsidRPr="003D3B35">
        <w:rPr>
          <w:rFonts w:ascii="Times New Roman" w:hAnsi="Times New Roman" w:cs="Times New Roman"/>
          <w:color w:val="000000"/>
          <w:sz w:val="24"/>
          <w:szCs w:val="24"/>
        </w:rPr>
        <w:t>, em Sessão Ordinária da Câmara Municipal de Vereadores da cidade de Santa Mônica, Estado do Paraná:</w:t>
      </w:r>
    </w:p>
    <w:p w14:paraId="4988D8BF" w14:textId="5D40B879" w:rsidR="00052FF0" w:rsidRDefault="003D3B35" w:rsidP="00E232DF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1 - </w:t>
      </w:r>
      <w:r w:rsidR="008E7EE6" w:rsidRPr="008E7EE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028/2024 – </w:t>
      </w:r>
      <w:r w:rsidR="008E7EE6" w:rsidRPr="008E7EE6">
        <w:rPr>
          <w:rFonts w:ascii="Times New Roman" w:hAnsi="Times New Roman" w:cs="Times New Roman"/>
          <w:color w:val="000000"/>
          <w:sz w:val="24"/>
          <w:szCs w:val="24"/>
        </w:rPr>
        <w:t>Súmula: Dispões sobre a estimativa da Receita e fixação da Despesa do Município de Santa Mônica para o exercício financeiro de 2025</w:t>
      </w:r>
      <w:r w:rsidR="008E7EE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67C6919" w14:textId="2C1C8473" w:rsidR="008E7EE6" w:rsidRDefault="008E7EE6" w:rsidP="00E232DF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7E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Projeto de Lei nº 029/2024 – </w:t>
      </w:r>
      <w:r w:rsidRPr="008E7EE6">
        <w:rPr>
          <w:rFonts w:ascii="Times New Roman" w:hAnsi="Times New Roman" w:cs="Times New Roman"/>
          <w:color w:val="000000"/>
          <w:sz w:val="24"/>
          <w:szCs w:val="24"/>
        </w:rPr>
        <w:t>Súmula: Dispões sobre o incentivo por desempenho individual variável a ser concedido aos profissionais da saúde bucal na Atenção Primária à Saúde – APS, instituído pela Portaria GM/MS nº 960 de 17 de julho de 2023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A3D6A4" w14:textId="1259CC2F" w:rsidR="008E7EE6" w:rsidRDefault="008E7EE6" w:rsidP="00E232DF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7E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Projeto de Lei nº 030/2024 – </w:t>
      </w:r>
      <w:r w:rsidRPr="008E7EE6">
        <w:rPr>
          <w:rFonts w:ascii="Times New Roman" w:hAnsi="Times New Roman" w:cs="Times New Roman"/>
          <w:color w:val="000000"/>
          <w:sz w:val="24"/>
          <w:szCs w:val="24"/>
        </w:rPr>
        <w:t>Ementa: Abre Crédito Especial por Excesso de Arrecadação, bem como altera-se PPA, LDO e LOA, e dá outras providências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1A6850" w14:textId="1494E842" w:rsidR="008E7EE6" w:rsidRDefault="008E7EE6" w:rsidP="00E232DF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7E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Projeto de Lei nº 031/2024 – </w:t>
      </w:r>
      <w:r w:rsidRPr="008E7EE6">
        <w:rPr>
          <w:rFonts w:ascii="Times New Roman" w:hAnsi="Times New Roman" w:cs="Times New Roman"/>
          <w:color w:val="000000"/>
          <w:sz w:val="24"/>
          <w:szCs w:val="24"/>
        </w:rPr>
        <w:t>Ementa: Abre Crédito Especial por Anulação de Dotação, bem como altera-se PPA, LDO e LOA, e dá outras providências</w:t>
      </w:r>
      <w:r w:rsidRPr="008E7EE6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C25FFDD" w14:textId="17C9EB4A" w:rsidR="008E7EE6" w:rsidRDefault="008E7EE6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5 -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E7EE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032/2024 – </w:t>
      </w:r>
      <w:r w:rsidRPr="008E7EE6">
        <w:rPr>
          <w:rFonts w:ascii="Times New Roman" w:hAnsi="Times New Roman" w:cs="Times New Roman"/>
          <w:bCs/>
          <w:color w:val="000000"/>
          <w:sz w:val="24"/>
          <w:szCs w:val="24"/>
        </w:rPr>
        <w:t>Ementa: Abre Crédito Suplementar por Anulação de Dotação e dá outras providências.</w:t>
      </w: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138BFAD1" w:rsidR="002E19E5" w:rsidRPr="002A4EFB" w:rsidRDefault="003D3B3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19549892" w14:textId="77777777" w:rsidR="00BF04A8" w:rsidRDefault="00BF04A8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27A081F1" w:rsidR="003D3B35" w:rsidRPr="002A4EFB" w:rsidRDefault="003D3B3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8E7EE6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C2A8F"/>
    <w:rsid w:val="003D3B35"/>
    <w:rsid w:val="003F0F63"/>
    <w:rsid w:val="0043636A"/>
    <w:rsid w:val="0049668F"/>
    <w:rsid w:val="004B15E8"/>
    <w:rsid w:val="005B47FF"/>
    <w:rsid w:val="005B4A7B"/>
    <w:rsid w:val="00681B10"/>
    <w:rsid w:val="006D6737"/>
    <w:rsid w:val="006E7CF0"/>
    <w:rsid w:val="007D45E3"/>
    <w:rsid w:val="007D55A4"/>
    <w:rsid w:val="007F7D65"/>
    <w:rsid w:val="008224B0"/>
    <w:rsid w:val="00862365"/>
    <w:rsid w:val="008C0CE7"/>
    <w:rsid w:val="008C24C9"/>
    <w:rsid w:val="008C76BB"/>
    <w:rsid w:val="008E7EE6"/>
    <w:rsid w:val="00902FD9"/>
    <w:rsid w:val="00961D7A"/>
    <w:rsid w:val="00980AE8"/>
    <w:rsid w:val="0099709E"/>
    <w:rsid w:val="009C6702"/>
    <w:rsid w:val="009D142C"/>
    <w:rsid w:val="009D6C87"/>
    <w:rsid w:val="00A305A0"/>
    <w:rsid w:val="00A60770"/>
    <w:rsid w:val="00A73DC4"/>
    <w:rsid w:val="00A9604E"/>
    <w:rsid w:val="00AC2647"/>
    <w:rsid w:val="00AD25C1"/>
    <w:rsid w:val="00B179F8"/>
    <w:rsid w:val="00B6795C"/>
    <w:rsid w:val="00BC3104"/>
    <w:rsid w:val="00BD73BC"/>
    <w:rsid w:val="00BF04A8"/>
    <w:rsid w:val="00D47008"/>
    <w:rsid w:val="00D675EA"/>
    <w:rsid w:val="00DE47AB"/>
    <w:rsid w:val="00E0793F"/>
    <w:rsid w:val="00E232DF"/>
    <w:rsid w:val="00E91DC2"/>
    <w:rsid w:val="00E95749"/>
    <w:rsid w:val="00EB5A43"/>
    <w:rsid w:val="00EC6B46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2024-12-18T12:48:00Z</dcterms:created>
  <dcterms:modified xsi:type="dcterms:W3CDTF">2024-12-18T12:48:00Z</dcterms:modified>
</cp:coreProperties>
</file>