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3D96C6E7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9B1290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3B1141">
        <w:rPr>
          <w:rFonts w:ascii="Times New Roman" w:hAnsi="Times New Roman" w:cs="Times New Roman"/>
          <w:b/>
          <w:bCs/>
          <w:sz w:val="24"/>
          <w:szCs w:val="24"/>
        </w:rPr>
        <w:t xml:space="preserve"> PRIMEIRA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3B1141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B1141">
        <w:rPr>
          <w:rFonts w:ascii="Times New Roman" w:hAnsi="Times New Roman" w:cs="Times New Roman"/>
          <w:sz w:val="24"/>
          <w:szCs w:val="24"/>
        </w:rPr>
        <w:t>08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1560A">
        <w:rPr>
          <w:rFonts w:ascii="Times New Roman" w:hAnsi="Times New Roman" w:cs="Times New Roman"/>
          <w:sz w:val="24"/>
          <w:szCs w:val="24"/>
        </w:rPr>
        <w:t>junh</w:t>
      </w:r>
      <w:r w:rsidR="002F3DB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8CF012A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1141">
        <w:rPr>
          <w:rFonts w:ascii="Times New Roman" w:hAnsi="Times New Roman" w:cs="Times New Roman"/>
          <w:bCs/>
          <w:color w:val="000000"/>
          <w:sz w:val="24"/>
          <w:szCs w:val="24"/>
        </w:rPr>
        <w:t>08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1560A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11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3EC59DBB" w14:textId="5F055CDB" w:rsidR="002F3DBC" w:rsidRDefault="00E0793F" w:rsidP="003B1141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3B1141" w:rsidRPr="003B1141"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3B1141" w:rsidRPr="003B11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</w:t>
      </w:r>
      <w:r w:rsidR="003B11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nº </w:t>
      </w:r>
      <w:r w:rsidR="003B1141" w:rsidRPr="003B11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048/2020 - </w:t>
      </w:r>
      <w:r w:rsidR="003B1141" w:rsidRPr="003B1141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Excesso de Arrecadação, e dá outras providências</w:t>
      </w:r>
      <w:r w:rsidR="003B1141" w:rsidRPr="003B1141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371AF50" w14:textId="53337E5A" w:rsidR="003B1141" w:rsidRDefault="003B1141" w:rsidP="003B114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141">
        <w:rPr>
          <w:rFonts w:ascii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3B1141">
        <w:rPr>
          <w:rFonts w:ascii="Times New Roman" w:hAnsi="Times New Roman" w:cs="Times New Roman"/>
          <w:b/>
          <w:sz w:val="24"/>
          <w:szCs w:val="24"/>
        </w:rPr>
        <w:t xml:space="preserve"> 049/2020 – </w:t>
      </w:r>
      <w:r w:rsidRPr="003B1141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141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A4C021" w14:textId="49279DDB" w:rsidR="003B1141" w:rsidRDefault="003B1141" w:rsidP="003B114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141">
        <w:rPr>
          <w:rFonts w:ascii="Times New Roman" w:hAnsi="Times New Roman" w:cs="Times New Roman"/>
          <w:b/>
          <w:sz w:val="24"/>
          <w:szCs w:val="24"/>
        </w:rPr>
        <w:t xml:space="preserve">Projeto de Lei 050/2020 - </w:t>
      </w:r>
      <w:r w:rsidRPr="003B1141">
        <w:rPr>
          <w:rFonts w:ascii="Times New Roman" w:hAnsi="Times New Roman" w:cs="Times New Roman"/>
          <w:sz w:val="24"/>
          <w:szCs w:val="24"/>
        </w:rPr>
        <w:t>Abre Crédito Especial por Excesso de Arrecadação,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5970E" w14:textId="77777777" w:rsidR="003B1141" w:rsidRDefault="003B1141" w:rsidP="003B114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B114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2F3DBC"/>
    <w:rsid w:val="00320E42"/>
    <w:rsid w:val="003A467C"/>
    <w:rsid w:val="003B1141"/>
    <w:rsid w:val="003F0F63"/>
    <w:rsid w:val="003F66F8"/>
    <w:rsid w:val="00473AD9"/>
    <w:rsid w:val="00557CA5"/>
    <w:rsid w:val="005E7BE7"/>
    <w:rsid w:val="005F0220"/>
    <w:rsid w:val="00612838"/>
    <w:rsid w:val="006556FF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9A714B"/>
    <w:rsid w:val="009B1290"/>
    <w:rsid w:val="00AC2647"/>
    <w:rsid w:val="00BF37CE"/>
    <w:rsid w:val="00D907C7"/>
    <w:rsid w:val="00E0793F"/>
    <w:rsid w:val="00E1560A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2023-08-09T17:22:00Z</dcterms:created>
  <dcterms:modified xsi:type="dcterms:W3CDTF">2023-08-09T17:22:00Z</dcterms:modified>
</cp:coreProperties>
</file>