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B8CEBDA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56FA5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FF1697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1697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F1697">
        <w:rPr>
          <w:rFonts w:ascii="Times New Roman" w:hAnsi="Times New Roman" w:cs="Times New Roman"/>
          <w:sz w:val="24"/>
          <w:szCs w:val="24"/>
        </w:rPr>
        <w:t>04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FF1697">
        <w:rPr>
          <w:rFonts w:ascii="Times New Roman" w:hAnsi="Times New Roman" w:cs="Times New Roman"/>
          <w:sz w:val="24"/>
          <w:szCs w:val="24"/>
        </w:rPr>
        <w:t>maio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E51F9E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F16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FF1697">
        <w:rPr>
          <w:rFonts w:ascii="Times New Roman" w:hAnsi="Times New Roman" w:cs="Times New Roman"/>
          <w:bCs/>
          <w:color w:val="000000"/>
          <w:sz w:val="24"/>
          <w:szCs w:val="24"/>
        </w:rPr>
        <w:t>maio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F8B9469" w14:textId="626EFF2A" w:rsidR="00156FA5" w:rsidRDefault="00E0793F" w:rsidP="00FF1697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FF1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F1697" w:rsidRPr="00FF1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039/2020 - </w:t>
      </w:r>
      <w:r w:rsidR="00FF1697" w:rsidRPr="00FF1697">
        <w:rPr>
          <w:rFonts w:ascii="Times New Roman" w:hAnsi="Times New Roman" w:cs="Times New Roman"/>
          <w:color w:val="000000"/>
          <w:sz w:val="24"/>
          <w:szCs w:val="24"/>
        </w:rPr>
        <w:t>DISPÕE SOBRE AS MEDIDAS DE ENFRENTAMENTO DA EMERGÊNCIA DE SAÚDE PÚBLICA DECORRENTE DO NOVO CORONAVÍRUS (COVID-19) E INSTITUI O RITO PROCESSUAL ADMINISTRATRIVO DE APURAÇÃO DE RESPONSABILIDADE DE EVENTUAIS INFRAÇÕES PRATICADAS NO ÂMBITO DO MUNICÍPIO DE SANTA MÔNICA - PR, E DÁ OUTRAS PROVIDÊNCIAS</w:t>
      </w:r>
      <w:r w:rsidR="00FF16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764863" w14:textId="63E1BFF6" w:rsidR="00FF1697" w:rsidRDefault="00FF1697" w:rsidP="00FF169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97">
        <w:rPr>
          <w:rFonts w:ascii="Times New Roman" w:hAnsi="Times New Roman" w:cs="Times New Roman"/>
          <w:b/>
          <w:sz w:val="24"/>
          <w:szCs w:val="24"/>
        </w:rPr>
        <w:t xml:space="preserve">Projeto de Lei 040/2020 - </w:t>
      </w:r>
      <w:r w:rsidRPr="00FF1697">
        <w:rPr>
          <w:rFonts w:ascii="Times New Roman" w:hAnsi="Times New Roman" w:cs="Times New Roman"/>
          <w:iCs/>
          <w:sz w:val="24"/>
          <w:szCs w:val="24"/>
        </w:rPr>
        <w:t>AUTORIZA O CHEFE DO PODER EXECUTIVO MUNICIPAL CELEBRAR CONVÊNIO COM ASSOCIAÇÃO DE PAIS E AMIGOS DOS EXCEPCIONAIS - APAE DO MUNICÍPIO DE SANTA MÔNICA-PR, E DÁ OUTRAS PROVIDÊNCIAS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339CC5BD" w:rsidR="00156FA5" w:rsidRPr="00D82BC7" w:rsidRDefault="00FF1697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Flavio da Silva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54EF73EA" w:rsidR="00156FA5" w:rsidRPr="00D82BC7" w:rsidRDefault="00FF1697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Segundo</w:t>
            </w:r>
            <w:r w:rsidR="00156F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Secretário</w:t>
            </w:r>
            <w:r w:rsidR="00156FA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F1697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473AD9"/>
    <w:rsid w:val="00557CA5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2023-08-09T16:46:00Z</dcterms:created>
  <dcterms:modified xsi:type="dcterms:W3CDTF">2023-08-09T16:46:00Z</dcterms:modified>
</cp:coreProperties>
</file>